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80" w:after="180"/>
        <w:jc w:val="center"/>
        <w:textAlignment w:val="auto"/>
        <w:rPr>
          <w:rFonts w:hint="default"/>
          <w:b/>
          <w:bCs/>
          <w:color w:val="0070C0"/>
          <w:lang w:val="en-US"/>
        </w:rPr>
      </w:pPr>
      <w:r>
        <w:rPr>
          <w:rFonts w:hint="default"/>
          <w:b/>
          <w:bCs/>
          <w:color w:val="0070C0"/>
          <w:lang w:val="en-US"/>
        </w:rPr>
        <w:t>DANH MỤC HỒ SƠ THU XẾP VỐN</w:t>
      </w:r>
      <w:bookmarkStart w:id="0" w:name="_GoBack"/>
      <w:bookmarkEnd w:id="0"/>
    </w:p>
    <w:tbl>
      <w:tblPr>
        <w:tblStyle w:val="3"/>
        <w:tblW w:w="4986" w:type="pct"/>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autofit"/>
        <w:tblCellMar>
          <w:top w:w="0" w:type="dxa"/>
          <w:left w:w="0" w:type="dxa"/>
          <w:bottom w:w="0" w:type="dxa"/>
          <w:right w:w="0" w:type="dxa"/>
        </w:tblCellMar>
      </w:tblPr>
      <w:tblGrid>
        <w:gridCol w:w="419"/>
        <w:gridCol w:w="7723"/>
        <w:gridCol w:w="1016"/>
        <w:gridCol w:w="9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rHeight w:val="307" w:hRule="atLeast"/>
          <w:tblCellSpacing w:w="0" w:type="dxa"/>
        </w:trPr>
        <w:tc>
          <w:tcPr>
            <w:tcW w:w="208" w:type="pct"/>
            <w:vMerge w:val="restart"/>
            <w:tcBorders>
              <w:tl2br w:val="nil"/>
              <w:tr2bl w:val="nil"/>
            </w:tcBorders>
            <w:shd w:val="clear" w:color="auto" w:fill="0070C0"/>
            <w:vAlign w:val="center"/>
          </w:tcPr>
          <w:p>
            <w:pPr>
              <w:spacing w:line="264" w:lineRule="auto"/>
              <w:jc w:val="center"/>
              <w:rPr>
                <w:rFonts w:eastAsia="Times New Roman" w:cs="Arial"/>
                <w:b/>
                <w:color w:val="FFFFFF" w:themeColor="background1"/>
                <w:sz w:val="20"/>
                <w:szCs w:val="20"/>
                <w14:textFill>
                  <w14:solidFill>
                    <w14:schemeClr w14:val="bg1"/>
                  </w14:solidFill>
                </w14:textFill>
              </w:rPr>
            </w:pPr>
            <w:r>
              <w:rPr>
                <w:rFonts w:eastAsia="Times New Roman" w:cs="Arial"/>
                <w:b/>
                <w:color w:val="FFFFFF" w:themeColor="background1"/>
                <w:sz w:val="20"/>
                <w:szCs w:val="20"/>
                <w14:textFill>
                  <w14:solidFill>
                    <w14:schemeClr w14:val="bg1"/>
                  </w14:solidFill>
                </w14:textFill>
              </w:rPr>
              <w:t>TT</w:t>
            </w:r>
          </w:p>
        </w:tc>
        <w:tc>
          <w:tcPr>
            <w:tcW w:w="3837" w:type="pct"/>
            <w:vMerge w:val="restart"/>
            <w:tcBorders>
              <w:tl2br w:val="nil"/>
              <w:tr2bl w:val="nil"/>
            </w:tcBorders>
            <w:shd w:val="clear" w:color="auto" w:fill="0070C0"/>
            <w:vAlign w:val="center"/>
          </w:tcPr>
          <w:p>
            <w:pPr>
              <w:spacing w:line="264" w:lineRule="auto"/>
              <w:ind w:left="111"/>
              <w:jc w:val="center"/>
              <w:rPr>
                <w:rFonts w:hint="default" w:eastAsia="Times New Roman" w:cs="Arial"/>
                <w:b/>
                <w:color w:val="FFFFFF" w:themeColor="background1"/>
                <w:sz w:val="20"/>
                <w:szCs w:val="20"/>
                <w:lang w:val="en-US"/>
                <w14:textFill>
                  <w14:solidFill>
                    <w14:schemeClr w14:val="bg1"/>
                  </w14:solidFill>
                </w14:textFill>
              </w:rPr>
            </w:pPr>
            <w:r>
              <w:rPr>
                <w:rFonts w:hint="default" w:eastAsia="Times New Roman" w:cs="Arial"/>
                <w:b/>
                <w:color w:val="FFFFFF" w:themeColor="background1"/>
                <w:sz w:val="20"/>
                <w:szCs w:val="20"/>
                <w:lang w:val="en-US"/>
                <w14:textFill>
                  <w14:solidFill>
                    <w14:schemeClr w14:val="bg1"/>
                  </w14:solidFill>
                </w14:textFill>
              </w:rPr>
              <w:t>DANH MỤC HỒ SƠ</w:t>
            </w:r>
          </w:p>
        </w:tc>
        <w:tc>
          <w:tcPr>
            <w:tcW w:w="954" w:type="pct"/>
            <w:gridSpan w:val="2"/>
            <w:tcBorders>
              <w:tl2br w:val="nil"/>
              <w:tr2bl w:val="nil"/>
            </w:tcBorders>
            <w:shd w:val="clear" w:color="auto" w:fill="0070C0"/>
            <w:vAlign w:val="center"/>
          </w:tcPr>
          <w:p>
            <w:pPr>
              <w:spacing w:line="264" w:lineRule="auto"/>
              <w:jc w:val="center"/>
              <w:rPr>
                <w:rFonts w:eastAsia="Times New Roman" w:cs="Arial"/>
                <w:b/>
                <w:color w:val="FFFFFF" w:themeColor="background1"/>
                <w:sz w:val="20"/>
                <w:szCs w:val="20"/>
                <w14:textFill>
                  <w14:solidFill>
                    <w14:schemeClr w14:val="bg1"/>
                  </w14:solidFill>
                </w14:textFill>
              </w:rPr>
            </w:pPr>
            <w:r>
              <w:rPr>
                <w:rFonts w:eastAsia="Times New Roman" w:cs="Arial"/>
                <w:b/>
                <w:color w:val="FFFFFF" w:themeColor="background1"/>
                <w:sz w:val="20"/>
                <w:szCs w:val="20"/>
                <w14:textFill>
                  <w14:solidFill>
                    <w14:schemeClr w14:val="bg1"/>
                  </w14:solidFill>
                </w14:textFill>
              </w:rPr>
              <w:t>Loại hồ sơ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rHeight w:val="395" w:hRule="atLeast"/>
          <w:tblCellSpacing w:w="0" w:type="dxa"/>
        </w:trPr>
        <w:tc>
          <w:tcPr>
            <w:tcW w:w="208" w:type="pct"/>
            <w:vMerge w:val="continue"/>
            <w:tcBorders>
              <w:tl2br w:val="nil"/>
              <w:tr2bl w:val="nil"/>
            </w:tcBorders>
            <w:shd w:val="clear" w:color="auto" w:fill="0070C0"/>
            <w:vAlign w:val="center"/>
          </w:tcPr>
          <w:p>
            <w:pPr>
              <w:spacing w:line="264" w:lineRule="auto"/>
              <w:jc w:val="center"/>
              <w:rPr>
                <w:rFonts w:eastAsia="Times New Roman" w:cs="Arial"/>
                <w:b/>
                <w:color w:val="FFFFFF" w:themeColor="background1"/>
                <w:sz w:val="20"/>
                <w:szCs w:val="20"/>
                <w14:textFill>
                  <w14:solidFill>
                    <w14:schemeClr w14:val="bg1"/>
                  </w14:solidFill>
                </w14:textFill>
              </w:rPr>
            </w:pPr>
          </w:p>
        </w:tc>
        <w:tc>
          <w:tcPr>
            <w:tcW w:w="3837" w:type="pct"/>
            <w:vMerge w:val="continue"/>
            <w:tcBorders>
              <w:tl2br w:val="nil"/>
              <w:tr2bl w:val="nil"/>
            </w:tcBorders>
            <w:shd w:val="clear" w:color="auto" w:fill="0070C0"/>
            <w:vAlign w:val="center"/>
          </w:tcPr>
          <w:p>
            <w:pPr>
              <w:spacing w:line="264" w:lineRule="auto"/>
              <w:ind w:left="111"/>
              <w:jc w:val="center"/>
              <w:rPr>
                <w:rFonts w:eastAsia="Times New Roman" w:cs="Arial"/>
                <w:b/>
                <w:color w:val="FFFFFF" w:themeColor="background1"/>
                <w:sz w:val="20"/>
                <w:szCs w:val="20"/>
                <w14:textFill>
                  <w14:solidFill>
                    <w14:schemeClr w14:val="bg1"/>
                  </w14:solidFill>
                </w14:textFill>
              </w:rPr>
            </w:pPr>
          </w:p>
        </w:tc>
        <w:tc>
          <w:tcPr>
            <w:tcW w:w="505" w:type="pct"/>
            <w:tcBorders>
              <w:tl2br w:val="nil"/>
              <w:tr2bl w:val="nil"/>
            </w:tcBorders>
            <w:shd w:val="clear" w:color="auto" w:fill="0070C0"/>
            <w:vAlign w:val="center"/>
          </w:tcPr>
          <w:p>
            <w:pPr>
              <w:spacing w:line="264" w:lineRule="auto"/>
              <w:jc w:val="center"/>
              <w:rPr>
                <w:rFonts w:eastAsia="Times New Roman" w:cs="Arial"/>
                <w:b/>
                <w:color w:val="FFFFFF" w:themeColor="background1"/>
                <w:sz w:val="20"/>
                <w:szCs w:val="20"/>
                <w14:textFill>
                  <w14:solidFill>
                    <w14:schemeClr w14:val="bg1"/>
                  </w14:solidFill>
                </w14:textFill>
              </w:rPr>
            </w:pPr>
            <w:r>
              <w:rPr>
                <w:rFonts w:eastAsia="Times New Roman" w:cs="Arial"/>
                <w:b/>
                <w:color w:val="FFFFFF" w:themeColor="background1"/>
                <w:sz w:val="20"/>
                <w:szCs w:val="20"/>
                <w14:textFill>
                  <w14:solidFill>
                    <w14:schemeClr w14:val="bg1"/>
                  </w14:solidFill>
                </w14:textFill>
              </w:rPr>
              <w:t>Bản chính</w:t>
            </w:r>
          </w:p>
        </w:tc>
        <w:tc>
          <w:tcPr>
            <w:tcW w:w="448" w:type="pct"/>
            <w:tcBorders>
              <w:tl2br w:val="nil"/>
              <w:tr2bl w:val="nil"/>
            </w:tcBorders>
            <w:shd w:val="clear" w:color="auto" w:fill="0070C0"/>
            <w:vAlign w:val="center"/>
          </w:tcPr>
          <w:p>
            <w:pPr>
              <w:spacing w:line="264" w:lineRule="auto"/>
              <w:jc w:val="center"/>
              <w:rPr>
                <w:rFonts w:eastAsia="Times New Roman" w:cs="Arial"/>
                <w:b/>
                <w:color w:val="FFFFFF" w:themeColor="background1"/>
                <w:sz w:val="20"/>
                <w:szCs w:val="20"/>
                <w14:textFill>
                  <w14:solidFill>
                    <w14:schemeClr w14:val="bg1"/>
                  </w14:solidFill>
                </w14:textFill>
              </w:rPr>
            </w:pPr>
            <w:r>
              <w:rPr>
                <w:rFonts w:eastAsia="Times New Roman" w:cs="Arial"/>
                <w:b/>
                <w:color w:val="FFFFFF" w:themeColor="background1"/>
                <w:sz w:val="20"/>
                <w:szCs w:val="20"/>
                <w14:textFill>
                  <w14:solidFill>
                    <w14:schemeClr w14:val="bg1"/>
                  </w14:solidFill>
                </w14:textFill>
              </w:rPr>
              <w:t>Bản sao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b/>
                <w:bCs/>
                <w:color w:val="333333"/>
                <w:sz w:val="20"/>
                <w:szCs w:val="20"/>
              </w:rPr>
              <w:t>I</w:t>
            </w:r>
          </w:p>
        </w:tc>
        <w:tc>
          <w:tcPr>
            <w:tcW w:w="3837" w:type="pct"/>
            <w:tcBorders>
              <w:tl2br w:val="nil"/>
              <w:tr2bl w:val="nil"/>
            </w:tcBorders>
            <w:shd w:val="clear" w:color="auto" w:fill="FFFFFF"/>
            <w:vAlign w:val="center"/>
          </w:tcPr>
          <w:p>
            <w:pPr>
              <w:spacing w:line="264" w:lineRule="auto"/>
              <w:ind w:left="111"/>
              <w:jc w:val="center"/>
              <w:rPr>
                <w:rFonts w:hint="default" w:eastAsia="Times New Roman" w:cs="Arial"/>
                <w:color w:val="333333"/>
                <w:sz w:val="20"/>
                <w:szCs w:val="20"/>
                <w:lang w:val="en-US"/>
              </w:rPr>
            </w:pPr>
            <w:r>
              <w:rPr>
                <w:rFonts w:eastAsia="Times New Roman" w:cs="Arial"/>
                <w:b/>
                <w:bCs/>
                <w:color w:val="333333"/>
                <w:sz w:val="20"/>
                <w:szCs w:val="20"/>
              </w:rPr>
              <w:t>Giấy đề nghị</w:t>
            </w:r>
            <w:r>
              <w:rPr>
                <w:rFonts w:hint="default" w:eastAsia="Times New Roman" w:cs="Arial"/>
                <w:b/>
                <w:bCs/>
                <w:color w:val="333333"/>
                <w:sz w:val="20"/>
                <w:szCs w:val="20"/>
                <w:lang w:val="en-US"/>
              </w:rPr>
              <w:t xml:space="preserve"> thu xếp vốn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b/>
                <w:bCs/>
                <w:color w:val="333333"/>
                <w:sz w:val="20"/>
                <w:szCs w:val="20"/>
              </w:rPr>
              <w:t>II</w:t>
            </w:r>
          </w:p>
        </w:tc>
        <w:tc>
          <w:tcPr>
            <w:tcW w:w="3837" w:type="pct"/>
            <w:tcBorders>
              <w:tl2br w:val="nil"/>
              <w:tr2bl w:val="nil"/>
            </w:tcBorders>
            <w:shd w:val="clear" w:color="auto" w:fill="FFFFFF"/>
            <w:vAlign w:val="center"/>
          </w:tcPr>
          <w:p>
            <w:pPr>
              <w:spacing w:line="264" w:lineRule="auto"/>
              <w:ind w:left="111"/>
              <w:jc w:val="center"/>
              <w:rPr>
                <w:rFonts w:eastAsia="Times New Roman" w:cs="Arial"/>
                <w:color w:val="333333"/>
                <w:sz w:val="20"/>
                <w:szCs w:val="20"/>
              </w:rPr>
            </w:pPr>
            <w:r>
              <w:rPr>
                <w:rFonts w:eastAsia="Times New Roman" w:cs="Arial"/>
                <w:b/>
                <w:bCs/>
                <w:color w:val="333333"/>
                <w:sz w:val="20"/>
                <w:szCs w:val="20"/>
              </w:rPr>
              <w:t>Hồ sơ dự án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Báo cáo đầu tư hoặc báo cáo kinh tế kỹ thuật hoạc báo cáo nghiên cứu khả thi hoặc dự án đầu tư xây dựng công trình được lập theo quy định hiện hành trong đó thể hiện phương án tài chính, kinh doanh và trả nợ.</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2</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Giấy chứng nhận đầu tư (trường hợp dự án bắt buộc phải có Giấy chứng nhận đầu tư theo quy định)</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3</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Quyết định đầu tư (đối với dự án có Quyết định đầu tư)</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4</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Báo cáo tình hình thực hiện dự án (đối với dự án đang thực hiện)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5</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Văn bản của cơ quan thẩm quyền về các nội dung liên quan đến dự án theo quy định hiện hành về quản lý đầu tư và xây dựng</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6</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Hồ sơ thiết kế cơ sở, hồ sơ dự toán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7</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Kết quả thẩm định thiết kế cơ sở, thẩm định dự toán (nếu có)</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8</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Kết quả thẩm định dự án, tổng mức đầu tư (nếu có)</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9</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Giấy chứng nhận QSDĐ/hợp đồng thuê đất/Quyết định bàn giao đất của cấp có thẩm quyền nơi dự án sẽ được đầu tư</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10</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Văn bản liên quan đến quy hoạch địa điểm xây dựng dự án của cấp có thẩm quyền(nếu có)</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11</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Phê duyệt về công tác phòng cháy chữa cháy(áp dụng đối với dự án phải lập báo cáo thẩm tra về PCCC)</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12</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Quyết định phê duyệt báo cáo đánh giá tác động môi trường.</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13</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Giấy phép xây dựng</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b/>
                <w:bCs/>
                <w:color w:val="333333"/>
                <w:sz w:val="20"/>
                <w:szCs w:val="20"/>
              </w:rPr>
              <w:t>III</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b/>
                <w:bCs/>
                <w:color w:val="333333"/>
                <w:sz w:val="20"/>
                <w:szCs w:val="20"/>
              </w:rPr>
              <w:t>Hồ sơ chủ đầu tư</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b/>
                <w:bCs/>
                <w:i/>
                <w:iCs/>
                <w:color w:val="333333"/>
                <w:sz w:val="20"/>
                <w:szCs w:val="20"/>
              </w:rPr>
              <w:t>1</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b/>
                <w:bCs/>
                <w:i/>
                <w:iCs/>
                <w:color w:val="333333"/>
                <w:sz w:val="20"/>
                <w:szCs w:val="20"/>
              </w:rPr>
              <w:t>Hồ sơ pháp lý</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1.1</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Quyết định thành lập của cơ quan có thẩm quyền đối với chủ đầu tư được Nhà nước thành lập; Giấy chứng nhận đăng ký kinh doanh đối với chủ đầu tư được thành lập theo Luật Doanh nghiệp; Luât Hợp tác xã</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1.2</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Điều lệ hoạt động</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1.3</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Quyết định bổ nhiệm Chủ tịch Hội đồng thành viên, Chủ tịch Hội đồng quản trị, Tổng giám đốc(Giám đốc); Trưởng Ban quản trị, Chủ nhiệm Hợp tác xã (đối với Hợp tác xã); Kế toán trưởng hoặc phụ trách kế toán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rHeight w:val="866" w:hRule="atLeast"/>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1.4</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Giấy chứng minh thư nhân dân của Chủ tịch Hội đồng thành viên/Chủ tịch Hội đồng quản trị, Tổng giám đốc /Giám đốc; Trưởng Ban quản trị/Chủ nhiệm Hợp tác xã (đối với Hợp tác xã); Kế toán trưởng/phụ trách kế toán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1.5</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Trường hợp đơn vị hạch toán phụ thuộc được đơn vị cấp trên giao làm chủ đầu tư dự án (hoặc làm đại diện của chủ đầu tư) thì phải có văn bản ủy quyền của cấp trên có thẩm quyền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1.6</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Biên bản góp vốn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1.7</w:t>
            </w:r>
          </w:p>
        </w:tc>
        <w:tc>
          <w:tcPr>
            <w:tcW w:w="3837" w:type="pct"/>
            <w:tcBorders>
              <w:tl2br w:val="nil"/>
              <w:tr2bl w:val="nil"/>
            </w:tcBorders>
            <w:shd w:val="clear" w:color="auto" w:fill="FFFFFF"/>
            <w:vAlign w:val="center"/>
          </w:tcPr>
          <w:p>
            <w:pPr>
              <w:spacing w:line="264" w:lineRule="auto"/>
              <w:ind w:left="111"/>
              <w:jc w:val="left"/>
              <w:rPr>
                <w:rFonts w:hint="default" w:eastAsia="Times New Roman" w:cs="Arial"/>
                <w:color w:val="333333"/>
                <w:sz w:val="20"/>
                <w:szCs w:val="20"/>
                <w:lang w:val="en-US"/>
              </w:rPr>
            </w:pPr>
            <w:r>
              <w:rPr>
                <w:rFonts w:eastAsia="Times New Roman" w:cs="Arial"/>
                <w:color w:val="333333"/>
                <w:sz w:val="20"/>
                <w:szCs w:val="20"/>
              </w:rPr>
              <w:t>Biên bản họp hội đồng thành viên về vi</w:t>
            </w:r>
            <w:r>
              <w:rPr>
                <w:rFonts w:eastAsia="Times New Roman" w:cs="Arial"/>
                <w:color w:val="333333"/>
                <w:sz w:val="20"/>
                <w:szCs w:val="20"/>
                <w:lang w:val="en-US"/>
              </w:rPr>
              <w:t>ệ</w:t>
            </w:r>
            <w:r>
              <w:rPr>
                <w:rFonts w:hint="default" w:eastAsia="Times New Roman" w:cs="Arial"/>
                <w:color w:val="333333"/>
                <w:sz w:val="20"/>
                <w:szCs w:val="20"/>
                <w:lang w:val="en-US"/>
              </w:rPr>
              <w:t>c thông qua phương án thu xếp vốn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1.8</w:t>
            </w:r>
          </w:p>
        </w:tc>
        <w:tc>
          <w:tcPr>
            <w:tcW w:w="3837" w:type="pct"/>
            <w:tcBorders>
              <w:tl2br w:val="nil"/>
              <w:tr2bl w:val="nil"/>
            </w:tcBorders>
            <w:shd w:val="clear" w:color="auto" w:fill="FFFFFF"/>
            <w:vAlign w:val="center"/>
          </w:tcPr>
          <w:p>
            <w:pPr>
              <w:spacing w:line="264" w:lineRule="auto"/>
              <w:ind w:left="111"/>
              <w:jc w:val="left"/>
              <w:rPr>
                <w:rFonts w:hint="default" w:eastAsia="Times New Roman" w:cs="Arial"/>
                <w:color w:val="333333"/>
                <w:sz w:val="20"/>
                <w:szCs w:val="20"/>
                <w:lang w:val="en-US"/>
              </w:rPr>
            </w:pPr>
            <w:r>
              <w:rPr>
                <w:rFonts w:eastAsia="Times New Roman" w:cs="Arial"/>
                <w:color w:val="333333"/>
                <w:sz w:val="20"/>
                <w:szCs w:val="20"/>
              </w:rPr>
              <w:t xml:space="preserve">Biên bản họp hội đồng thành viên về việc giao quyền cho người đại diện theo pháp luật </w:t>
            </w:r>
            <w:r>
              <w:rPr>
                <w:rFonts w:hint="default" w:eastAsia="Times New Roman" w:cs="Arial"/>
                <w:color w:val="333333"/>
                <w:sz w:val="20"/>
                <w:szCs w:val="20"/>
                <w:lang w:val="en-US"/>
              </w:rPr>
              <w:t>giao dịch</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1.9</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Các tài liệu liên quan khác do chủ đầu tư gửi kèm theo (nếu có)</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b/>
                <w:bCs/>
                <w:color w:val="333333"/>
                <w:sz w:val="20"/>
                <w:szCs w:val="20"/>
              </w:rPr>
              <w:t>2</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b/>
                <w:bCs/>
                <w:color w:val="333333"/>
                <w:sz w:val="20"/>
                <w:szCs w:val="20"/>
              </w:rPr>
              <w:t>Hồ sơ tài chính</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2.1</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Báo cáo tài chính hai năm gần nhất</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2.2</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 xml:space="preserve">Báo cáo tài chính từ đầu niên độ đến thời điểm đề nghị </w:t>
            </w:r>
            <w:r>
              <w:rPr>
                <w:rFonts w:eastAsia="Times New Roman" w:cs="Arial"/>
                <w:color w:val="333333"/>
                <w:sz w:val="20"/>
                <w:szCs w:val="20"/>
                <w:lang w:val="en-US"/>
              </w:rPr>
              <w:t>thu xếp vốn</w:t>
            </w:r>
            <w:r>
              <w:rPr>
                <w:rFonts w:hint="default" w:eastAsia="Times New Roman" w:cs="Arial"/>
                <w:color w:val="333333"/>
                <w:sz w:val="20"/>
                <w:szCs w:val="20"/>
                <w:lang w:val="en-US"/>
              </w:rPr>
              <w:t xml:space="preserve"> </w:t>
            </w:r>
            <w:r>
              <w:rPr>
                <w:rFonts w:eastAsia="Times New Roman" w:cs="Arial"/>
                <w:color w:val="333333"/>
                <w:sz w:val="20"/>
                <w:szCs w:val="20"/>
              </w:rPr>
              <w:t>(nếu có)</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2.3</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Hồ sơ liên quan đến việc góp vốn điều lệ bảo đảm tính khả thi</w:t>
            </w:r>
            <w:r>
              <w:rPr>
                <w:rFonts w:hint="default" w:eastAsia="Times New Roman" w:cs="Arial"/>
                <w:color w:val="333333"/>
                <w:sz w:val="20"/>
                <w:szCs w:val="20"/>
                <w:lang w:val="en-US"/>
              </w:rPr>
              <w:t xml:space="preserve"> </w:t>
            </w:r>
            <w:r>
              <w:rPr>
                <w:rFonts w:eastAsia="Times New Roman" w:cs="Arial"/>
                <w:color w:val="333333"/>
                <w:sz w:val="20"/>
                <w:szCs w:val="20"/>
              </w:rPr>
              <w:t>(đối với chủ đầu tư là đơn vị mới thành lập)</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rHeight w:val="560" w:hRule="atLeast"/>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b/>
                <w:bCs/>
                <w:color w:val="333333"/>
                <w:sz w:val="20"/>
                <w:szCs w:val="20"/>
              </w:rPr>
              <w:t>IV</w:t>
            </w:r>
          </w:p>
        </w:tc>
        <w:tc>
          <w:tcPr>
            <w:tcW w:w="3837" w:type="pct"/>
            <w:tcBorders>
              <w:tl2br w:val="nil"/>
              <w:tr2bl w:val="nil"/>
            </w:tcBorders>
            <w:shd w:val="clear" w:color="auto" w:fill="FFFFFF"/>
            <w:vAlign w:val="center"/>
          </w:tcPr>
          <w:p>
            <w:pPr>
              <w:spacing w:line="264" w:lineRule="auto"/>
              <w:ind w:left="111"/>
              <w:jc w:val="left"/>
              <w:rPr>
                <w:rFonts w:eastAsia="Times New Roman" w:cs="Arial"/>
                <w:b/>
                <w:bCs/>
                <w:color w:val="333333"/>
                <w:sz w:val="20"/>
                <w:szCs w:val="20"/>
              </w:rPr>
            </w:pPr>
            <w:r>
              <w:rPr>
                <w:rFonts w:eastAsia="Times New Roman" w:cs="Arial"/>
                <w:b/>
                <w:bCs/>
                <w:color w:val="333333"/>
                <w:sz w:val="20"/>
                <w:szCs w:val="20"/>
              </w:rPr>
              <w:t>Hồ sơ tài sản bảo đảm:</w:t>
            </w:r>
          </w:p>
          <w:p>
            <w:pPr>
              <w:spacing w:line="264" w:lineRule="auto"/>
              <w:ind w:left="111"/>
              <w:jc w:val="left"/>
              <w:rPr>
                <w:rFonts w:eastAsia="Times New Roman" w:cs="Arial"/>
                <w:color w:val="333333"/>
                <w:sz w:val="20"/>
                <w:szCs w:val="20"/>
              </w:rPr>
            </w:pPr>
            <w:r>
              <w:rPr>
                <w:rFonts w:eastAsia="Times New Roman" w:cs="Arial"/>
                <w:color w:val="333333"/>
                <w:sz w:val="20"/>
                <w:szCs w:val="20"/>
              </w:rPr>
              <w:t>Khách hàng thống nhất chọn một trong số các hình thức sau:</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b/>
                <w:bCs/>
                <w:i/>
                <w:iCs/>
                <w:color w:val="333333"/>
                <w:sz w:val="20"/>
                <w:szCs w:val="20"/>
              </w:rPr>
              <w:t>1</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b/>
                <w:bCs/>
                <w:i/>
                <w:iCs/>
                <w:color w:val="333333"/>
                <w:sz w:val="20"/>
                <w:szCs w:val="20"/>
              </w:rPr>
              <w:t>Hình thức 1: Cầm cố</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Giấy tờ có giá (cổ phiếu, tín phiếu, trái phiếu..)</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b/>
                <w:bCs/>
                <w:i/>
                <w:iCs/>
                <w:color w:val="333333"/>
                <w:sz w:val="20"/>
                <w:szCs w:val="20"/>
              </w:rPr>
              <w:t>2</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b/>
                <w:bCs/>
                <w:i/>
                <w:iCs/>
                <w:color w:val="333333"/>
                <w:sz w:val="20"/>
                <w:szCs w:val="20"/>
              </w:rPr>
              <w:t>Hình thức 2: Thế chấp bất động sản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a</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GCN quyền sở hữu, quyền sử dụng, quyền quản lý hợp pháp đối với nhà, đất, công trình xây dựng gắn liền với đất, các tài sản khác gắn liền với đất</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b</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Văn bản xác nhận giá trị tài sản thế chấp của cơ quan chuyên môn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b/>
                <w:bCs/>
                <w:i/>
                <w:iCs/>
                <w:color w:val="333333"/>
                <w:sz w:val="20"/>
                <w:szCs w:val="20"/>
              </w:rPr>
              <w:t>3</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b/>
                <w:bCs/>
                <w:i/>
                <w:iCs/>
                <w:color w:val="333333"/>
                <w:sz w:val="20"/>
                <w:szCs w:val="20"/>
              </w:rPr>
              <w:t>Hình thức 3: Thế chấp động sản (phương tiện vận tải, máy móc thiết bị…)</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a</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GCN đăng ký phương tiện, máy móc thiết bị, Hợp đồng mua bán, hóa đơn, phiếu nhập kho, Biên bản nghiệm thu</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b</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Bộ chứng từ nhập khẩu máy móc thiết bị nhập ngoại</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c</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Văn bản xác nhận giá trị tài sản thế chấp của cơ quan chuyên môn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b/>
                <w:bCs/>
                <w:i/>
                <w:iCs/>
                <w:color w:val="333333"/>
                <w:sz w:val="20"/>
                <w:szCs w:val="20"/>
              </w:rPr>
              <w:t>*</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b/>
                <w:bCs/>
                <w:i/>
                <w:iCs/>
                <w:color w:val="333333"/>
                <w:sz w:val="20"/>
                <w:szCs w:val="20"/>
              </w:rPr>
              <w:t>Trường hợp tài sản của bên thứ ba thì bổ sung thêm:</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3837" w:type="pct"/>
            <w:tcBorders>
              <w:tl2br w:val="nil"/>
              <w:tr2bl w:val="nil"/>
            </w:tcBorders>
            <w:shd w:val="clear" w:color="auto" w:fill="FFFFFF"/>
            <w:vAlign w:val="center"/>
          </w:tcPr>
          <w:p>
            <w:pPr>
              <w:spacing w:line="264" w:lineRule="auto"/>
              <w:ind w:left="111"/>
              <w:jc w:val="left"/>
              <w:rPr>
                <w:rFonts w:eastAsia="Times New Roman" w:cs="Arial"/>
                <w:color w:val="333333"/>
                <w:sz w:val="20"/>
                <w:szCs w:val="20"/>
              </w:rPr>
            </w:pPr>
            <w:r>
              <w:rPr>
                <w:rFonts w:eastAsia="Times New Roman" w:cs="Arial"/>
                <w:color w:val="333333"/>
                <w:sz w:val="20"/>
                <w:szCs w:val="20"/>
              </w:rPr>
              <w:t>Quyết định thành lập/Giấy CNĐKKD hoặc CMND, hộ khẩu, Giấy đăng ký kết hôn của bên bảo lãnh(nếu cần)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blCellSpacing w:w="0" w:type="dxa"/>
        </w:trPr>
        <w:tc>
          <w:tcPr>
            <w:tcW w:w="20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c>
          <w:tcPr>
            <w:tcW w:w="3837" w:type="pct"/>
            <w:tcBorders>
              <w:tl2br w:val="nil"/>
              <w:tr2bl w:val="nil"/>
            </w:tcBorders>
            <w:shd w:val="clear" w:color="auto" w:fill="FFFFFF"/>
            <w:vAlign w:val="center"/>
          </w:tcPr>
          <w:p>
            <w:pPr>
              <w:spacing w:line="264" w:lineRule="auto"/>
              <w:ind w:left="111"/>
              <w:jc w:val="left"/>
              <w:rPr>
                <w:rFonts w:hint="default" w:eastAsia="Times New Roman" w:cs="Arial"/>
                <w:color w:val="333333"/>
                <w:sz w:val="20"/>
                <w:szCs w:val="20"/>
                <w:lang w:val="en-US"/>
              </w:rPr>
            </w:pPr>
            <w:r>
              <w:rPr>
                <w:rFonts w:eastAsia="Times New Roman" w:cs="Arial"/>
                <w:color w:val="333333"/>
                <w:sz w:val="20"/>
                <w:szCs w:val="20"/>
              </w:rPr>
              <w:t xml:space="preserve">Văn bản cam kết của bên thứ ba về việc sử dụng tài sản thuộc quyền sở hữu/quyền sử dụng của mình để bảo đảm cho </w:t>
            </w:r>
            <w:r>
              <w:rPr>
                <w:rFonts w:hint="default" w:eastAsia="Times New Roman" w:cs="Arial"/>
                <w:color w:val="333333"/>
                <w:sz w:val="20"/>
                <w:szCs w:val="20"/>
                <w:lang w:val="en-US"/>
              </w:rPr>
              <w:t>phương án thu xếp vốn</w:t>
            </w:r>
          </w:p>
        </w:tc>
        <w:tc>
          <w:tcPr>
            <w:tcW w:w="505"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x</w:t>
            </w:r>
          </w:p>
        </w:tc>
        <w:tc>
          <w:tcPr>
            <w:tcW w:w="448" w:type="pct"/>
            <w:tcBorders>
              <w:tl2br w:val="nil"/>
              <w:tr2bl w:val="nil"/>
            </w:tcBorders>
            <w:shd w:val="clear" w:color="auto" w:fill="FFFFFF"/>
            <w:vAlign w:val="center"/>
          </w:tcPr>
          <w:p>
            <w:pPr>
              <w:spacing w:line="264" w:lineRule="auto"/>
              <w:jc w:val="center"/>
              <w:rPr>
                <w:rFonts w:eastAsia="Times New Roman" w:cs="Arial"/>
                <w:color w:val="333333"/>
                <w:sz w:val="20"/>
                <w:szCs w:val="20"/>
              </w:rPr>
            </w:pPr>
            <w:r>
              <w:rPr>
                <w:rFonts w:eastAsia="Times New Roman" w:cs="Arial"/>
                <w:color w:val="333333"/>
                <w:sz w:val="20"/>
                <w:szCs w:val="20"/>
              </w:rPr>
              <w:t> </w:t>
            </w:r>
          </w:p>
        </w:tc>
      </w:tr>
    </w:tbl>
    <w:p/>
    <w:sectPr>
      <w:headerReference r:id="rId5" w:type="default"/>
      <w:footerReference r:id="rId6" w:type="default"/>
      <w:pgSz w:w="12240" w:h="15840"/>
      <w:pgMar w:top="1835" w:right="720" w:bottom="720" w:left="1440" w:header="720" w:footer="960" w:gutter="0"/>
      <w:pgBorders>
        <w:top w:val="none" w:sz="0" w:space="0"/>
        <w:left w:val="none" w:sz="0" w:space="0"/>
        <w:bottom w:val="none" w:sz="0" w:space="0"/>
        <w:right w:val="none" w:sz="0" w:space="0"/>
      </w:pgBorders>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kinsoku/>
      <w:wordWrap/>
      <w:overflowPunct/>
      <w:topLinePunct w:val="0"/>
      <w:autoSpaceDE/>
      <w:autoSpaceDN/>
      <w:bidi w:val="0"/>
      <w:adjustRightInd/>
      <w:snapToGrid w:val="0"/>
      <w:spacing w:before="120"/>
      <w:textAlignment w:val="auto"/>
      <w:rPr>
        <w:rFonts w:hint="default"/>
        <w:lang w:val="en-US"/>
      </w:rPr>
    </w:pPr>
    <w:r>
      <w:rPr>
        <w:i/>
        <w:iCs/>
        <w:sz w:val="20"/>
      </w:rPr>
      <mc:AlternateContent>
        <mc:Choice Requires="wps">
          <w:drawing>
            <wp:anchor distT="0" distB="0" distL="114300" distR="114300" simplePos="0" relativeHeight="251660288" behindDoc="0" locked="0" layoutInCell="1" allowOverlap="1">
              <wp:simplePos x="0" y="0"/>
              <wp:positionH relativeFrom="margin">
                <wp:posOffset>6194425</wp:posOffset>
              </wp:positionH>
              <wp:positionV relativeFrom="paragraph">
                <wp:posOffset>0</wp:posOffset>
              </wp:positionV>
              <wp:extent cx="196850" cy="31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850" cy="311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kinsoku/>
                            <w:wordWrap/>
                            <w:overflowPunct/>
                            <w:topLinePunct w:val="0"/>
                            <w:autoSpaceDE/>
                            <w:autoSpaceDN/>
                            <w:bidi w:val="0"/>
                            <w:adjustRightInd/>
                            <w:snapToGrid w:val="0"/>
                            <w:spacing w:before="120"/>
                            <w:jc w:val="right"/>
                            <w:textAlignment w:val="auto"/>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87.75pt;margin-top:0pt;height:24.5pt;width:15.5pt;mso-position-horizontal-relative:margin;z-index:251660288;mso-width-relative:page;mso-height-relative:page;" filled="f" stroked="f" coordsize="21600,21600" o:gfxdata="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FHis7U&#10;AAAACAEAAA8AAAAAAAAAAQAgAAAAIgAAAGRycy9kb3ducmV2LnhtbFBLAQIUABQAAAAIAIdO4kBF&#10;1EtrJAIAAGAEAAAOAAAAAAAAAAEAIAAAACMBAABkcnMvZTJvRG9jLnhtbFBLBQYAAAAABgAGAFkB&#10;AAC5BQAAAAA=&#10;">
              <v:fill on="f" focussize="0,0"/>
              <v:stroke on="f" weight="0.5pt"/>
              <v:imagedata o:title=""/>
              <o:lock v:ext="edit" aspectratio="f"/>
              <v:textbox inset="0mm,0mm,0mm,0mm">
                <w:txbxContent>
                  <w:p>
                    <w:pPr>
                      <w:pStyle w:val="5"/>
                      <w:keepNext w:val="0"/>
                      <w:keepLines w:val="0"/>
                      <w:pageBreakBefore w:val="0"/>
                      <w:widowControl/>
                      <w:kinsoku/>
                      <w:wordWrap/>
                      <w:overflowPunct/>
                      <w:topLinePunct w:val="0"/>
                      <w:autoSpaceDE/>
                      <w:autoSpaceDN/>
                      <w:bidi w:val="0"/>
                      <w:adjustRightInd/>
                      <w:snapToGrid w:val="0"/>
                      <w:spacing w:before="120"/>
                      <w:jc w:val="right"/>
                      <w:textAlignment w:val="auto"/>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mc:Fallback>
      </mc:AlternateContent>
    </w:r>
    <w:r>
      <w:rPr>
        <w:i/>
        <w:iCs/>
        <w:sz w:val="20"/>
        <w:szCs w:val="20"/>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10795</wp:posOffset>
              </wp:positionV>
              <wp:extent cx="6388735" cy="0"/>
              <wp:effectExtent l="0" t="0" r="0" b="0"/>
              <wp:wrapNone/>
              <wp:docPr id="1" name="Straight Connector 1"/>
              <wp:cNvGraphicFramePr/>
              <a:graphic xmlns:a="http://schemas.openxmlformats.org/drawingml/2006/main">
                <a:graphicData uri="http://schemas.microsoft.com/office/word/2010/wordprocessingShape">
                  <wps:wsp>
                    <wps:cNvCnPr/>
                    <wps:spPr>
                      <a:xfrm>
                        <a:off x="1089025" y="9389745"/>
                        <a:ext cx="63887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0.85pt;height:0pt;width:503.05pt;z-index:251659264;mso-width-relative:page;mso-height-relative:page;" filled="f" stroked="t" coordsize="21600,21600" o:gfxdata="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heiB9AAAAAGAQAA&#10;DwAAAAAAAAABACAAAAAiAAAAZHJzL2Rvd25yZXYueG1sUEsBAhQAFAAAAAgAh07iQNO+/LnoAQAA&#10;wQMAAA4AAAAAAAAAAQAgAAAAHwEAAGRycy9lMm9Eb2MueG1sUEsFBgAAAAAGAAYAWQEAAHkFAAAA&#10;AA==&#10;">
              <v:fill on="f" focussize="0,0"/>
              <v:stroke weight="1pt" color="#5B9BD5 [3204]" miterlimit="8" joinstyle="miter"/>
              <v:imagedata o:title=""/>
              <o:lock v:ext="edit" aspectratio="f"/>
            </v:line>
          </w:pict>
        </mc:Fallback>
      </mc:AlternateContent>
    </w:r>
    <w:r>
      <w:rPr>
        <w:rFonts w:hint="default"/>
        <w:i/>
        <w:iCs/>
        <w:sz w:val="20"/>
        <w:szCs w:val="20"/>
        <w:lang w:val="en-US"/>
      </w:rPr>
      <w:t>Tài liệu này là tài sản và bản quyền của Bancafin, nghiêm cấm sao chép dưới mọi hình thức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pPr w:leftFromText="180" w:rightFromText="180" w:vertAnchor="page" w:horzAnchor="page" w:tblpX="1519" w:tblpY="718"/>
      <w:tblOverlap w:val="never"/>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80"/>
      <w:gridCol w:w="712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3080" w:type="dxa"/>
          <w:tcBorders>
            <w:tl2br w:val="nil"/>
            <w:tr2bl w:val="nil"/>
          </w:tcBorders>
        </w:tcPr>
        <w:p>
          <w:pPr>
            <w:pStyle w:val="6"/>
            <w:widowControl w:val="0"/>
            <w:rPr>
              <w:rFonts w:hint="default"/>
              <w:vertAlign w:val="baseline"/>
              <w:lang w:val="en-US"/>
            </w:rPr>
          </w:pPr>
          <w:r>
            <w:rPr>
              <w:rFonts w:hint="default"/>
              <w:vertAlign w:val="baseline"/>
              <w:lang w:val="en-US"/>
            </w:rPr>
            <w:drawing>
              <wp:inline distT="0" distB="0" distL="114300" distR="114300">
                <wp:extent cx="1659890" cy="493395"/>
                <wp:effectExtent l="0" t="0" r="1270" b="9525"/>
                <wp:docPr id="3" name="Picture 3" descr="LOGO-Bancafin-Dich-vu-tan-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Bancafin-Dich-vu-tan-tam"/>
                        <pic:cNvPicPr>
                          <a:picLocks noChangeAspect="1"/>
                        </pic:cNvPicPr>
                      </pic:nvPicPr>
                      <pic:blipFill>
                        <a:blip r:embed="rId1"/>
                        <a:stretch>
                          <a:fillRect/>
                        </a:stretch>
                      </pic:blipFill>
                      <pic:spPr>
                        <a:xfrm>
                          <a:off x="0" y="0"/>
                          <a:ext cx="1659890" cy="493395"/>
                        </a:xfrm>
                        <a:prstGeom prst="rect">
                          <a:avLst/>
                        </a:prstGeom>
                      </pic:spPr>
                    </pic:pic>
                  </a:graphicData>
                </a:graphic>
              </wp:inline>
            </w:drawing>
          </w:r>
        </w:p>
      </w:tc>
      <w:tc>
        <w:tcPr>
          <w:tcW w:w="7123" w:type="dxa"/>
          <w:tcBorders>
            <w:tl2br w:val="nil"/>
            <w:tr2bl w:val="nil"/>
          </w:tcBorders>
        </w:tcPr>
        <w:p>
          <w:pPr>
            <w:pStyle w:val="6"/>
            <w:keepNext w:val="0"/>
            <w:keepLines w:val="0"/>
            <w:pageBreakBefore w:val="0"/>
            <w:widowControl/>
            <w:kinsoku/>
            <w:overflowPunct/>
            <w:topLinePunct w:val="0"/>
            <w:autoSpaceDE/>
            <w:autoSpaceDN/>
            <w:bidi w:val="0"/>
            <w:adjustRightInd/>
            <w:snapToGrid w:val="0"/>
            <w:spacing w:before="0" w:after="0" w:line="288" w:lineRule="auto"/>
            <w:jc w:val="right"/>
            <w:textAlignment w:val="auto"/>
            <w:rPr>
              <w:rFonts w:hint="default"/>
              <w:vertAlign w:val="baseline"/>
              <w:lang w:val="en-US"/>
            </w:rPr>
          </w:pPr>
          <w:r>
            <w:rPr>
              <w:rFonts w:hint="default"/>
              <w:b/>
              <w:bCs/>
              <w:color w:val="0070C0"/>
              <w:sz w:val="20"/>
              <w:szCs w:val="20"/>
              <w:vertAlign w:val="baseline"/>
              <w:lang w:val="en-US"/>
            </w:rPr>
            <w:t>Bancafin - Dịch vụ tận tâm</w:t>
          </w:r>
        </w:p>
        <w:p>
          <w:pPr>
            <w:pStyle w:val="6"/>
            <w:keepNext w:val="0"/>
            <w:keepLines w:val="0"/>
            <w:pageBreakBefore w:val="0"/>
            <w:widowControl/>
            <w:kinsoku/>
            <w:wordWrap w:val="0"/>
            <w:overflowPunct/>
            <w:topLinePunct w:val="0"/>
            <w:autoSpaceDE/>
            <w:autoSpaceDN/>
            <w:bidi w:val="0"/>
            <w:adjustRightInd/>
            <w:snapToGrid w:val="0"/>
            <w:spacing w:before="0" w:after="0" w:line="288" w:lineRule="auto"/>
            <w:jc w:val="right"/>
            <w:textAlignment w:val="auto"/>
            <w:rPr>
              <w:rFonts w:hint="default"/>
              <w:color w:val="auto"/>
              <w:vertAlign w:val="baseline"/>
              <w:lang w:val="en-US"/>
            </w:rPr>
          </w:pPr>
          <w:r>
            <w:rPr>
              <w:rFonts w:hint="default"/>
              <w:color w:val="auto"/>
              <w:vertAlign w:val="baseline"/>
              <w:lang w:val="en-US"/>
            </w:rPr>
            <w:t>Add: Tòa HPC Landmark 105 Tố Hữu, KĐT Văn Khê, Hà Đông, Hà Nội</w:t>
          </w:r>
        </w:p>
        <w:p>
          <w:pPr>
            <w:pStyle w:val="6"/>
            <w:keepNext w:val="0"/>
            <w:keepLines w:val="0"/>
            <w:pageBreakBefore w:val="0"/>
            <w:widowControl/>
            <w:kinsoku/>
            <w:wordWrap w:val="0"/>
            <w:overflowPunct/>
            <w:topLinePunct w:val="0"/>
            <w:autoSpaceDE/>
            <w:autoSpaceDN/>
            <w:bidi w:val="0"/>
            <w:adjustRightInd/>
            <w:snapToGrid w:val="0"/>
            <w:spacing w:before="0" w:after="0" w:line="288" w:lineRule="auto"/>
            <w:jc w:val="right"/>
            <w:textAlignment w:val="auto"/>
            <w:rPr>
              <w:rFonts w:hint="default"/>
              <w:vertAlign w:val="baseline"/>
              <w:lang w:val="en-US"/>
            </w:rPr>
          </w:pPr>
          <w:r>
            <w:rPr>
              <w:rFonts w:hint="default"/>
              <w:color w:val="auto"/>
              <w:vertAlign w:val="baseline"/>
              <w:lang w:val="en-US"/>
            </w:rPr>
            <w:t xml:space="preserve">Hotline: 0917080810 - 0968080810, email: </w:t>
          </w:r>
          <w:r>
            <w:rPr>
              <w:rFonts w:hint="default"/>
              <w:color w:val="auto"/>
              <w:vertAlign w:val="baseline"/>
              <w:lang w:val="en-US"/>
            </w:rPr>
            <w:fldChar w:fldCharType="begin"/>
          </w:r>
          <w:r>
            <w:rPr>
              <w:rFonts w:hint="default"/>
              <w:color w:val="auto"/>
              <w:vertAlign w:val="baseline"/>
              <w:lang w:val="en-US"/>
            </w:rPr>
            <w:instrText xml:space="preserve"> HYPERLINK "mailto:info@bancafin.com," </w:instrText>
          </w:r>
          <w:r>
            <w:rPr>
              <w:rFonts w:hint="default"/>
              <w:color w:val="auto"/>
              <w:vertAlign w:val="baseline"/>
              <w:lang w:val="en-US"/>
            </w:rPr>
            <w:fldChar w:fldCharType="separate"/>
          </w:r>
          <w:r>
            <w:rPr>
              <w:rStyle w:val="7"/>
              <w:rFonts w:hint="default"/>
              <w:color w:val="auto"/>
              <w:u w:val="none"/>
              <w:vertAlign w:val="baseline"/>
              <w:lang w:val="en-US"/>
            </w:rPr>
            <w:t>info@bancafin.com</w:t>
          </w:r>
          <w:r>
            <w:rPr>
              <w:rStyle w:val="7"/>
              <w:rFonts w:hint="default"/>
              <w:color w:val="auto"/>
              <w:vertAlign w:val="baseline"/>
              <w:lang w:val="en-US"/>
            </w:rPr>
            <w:t>,</w:t>
          </w:r>
          <w:r>
            <w:rPr>
              <w:rFonts w:hint="default"/>
              <w:color w:val="auto"/>
              <w:vertAlign w:val="baseline"/>
              <w:lang w:val="en-US"/>
            </w:rPr>
            <w:fldChar w:fldCharType="end"/>
          </w:r>
          <w:r>
            <w:rPr>
              <w:rFonts w:hint="default"/>
              <w:color w:val="auto"/>
              <w:vertAlign w:val="baseline"/>
              <w:lang w:val="en-US"/>
            </w:rPr>
            <w:t xml:space="preserve"> webstie: bancafin.com</w:t>
          </w:r>
        </w:p>
      </w:tc>
    </w:tr>
  </w:tbl>
  <w:p>
    <w:pPr>
      <w:pStyle w:val="6"/>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87"/>
    <w:rsid w:val="002B2887"/>
    <w:rsid w:val="005B0409"/>
    <w:rsid w:val="00930C2E"/>
    <w:rsid w:val="00AF1086"/>
    <w:rsid w:val="00E30E43"/>
    <w:rsid w:val="032D2EF8"/>
    <w:rsid w:val="0E9B5403"/>
    <w:rsid w:val="2E2D0BA5"/>
    <w:rsid w:val="3C464471"/>
    <w:rsid w:val="54540E6A"/>
    <w:rsid w:val="5A9657B6"/>
    <w:rsid w:val="61F0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60" w:line="312" w:lineRule="auto"/>
      <w:jc w:val="both"/>
    </w:pPr>
    <w:rPr>
      <w:rFonts w:ascii="Arial" w:hAnsi="Arial" w:eastAsiaTheme="minorHAnsi" w:cstheme="minorBidi"/>
      <w:sz w:val="24"/>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character" w:styleId="7">
    <w:name w:val="Hyperlink"/>
    <w:basedOn w:val="2"/>
    <w:semiHidden/>
    <w:unhideWhenUsed/>
    <w:qFormat/>
    <w:uiPriority w:val="99"/>
    <w:rPr>
      <w:color w:val="0000FF"/>
      <w:u w:val="single"/>
    </w:rPr>
  </w:style>
  <w:style w:type="paragraph" w:styleId="8">
    <w:name w:val="Normal (Web)"/>
    <w:basedOn w:val="1"/>
    <w:semiHidden/>
    <w:unhideWhenUsed/>
    <w:qFormat/>
    <w:uiPriority w:val="99"/>
    <w:pPr>
      <w:spacing w:before="100" w:beforeAutospacing="1" w:after="100" w:afterAutospacing="1" w:line="240" w:lineRule="auto"/>
      <w:jc w:val="left"/>
    </w:pPr>
    <w:rPr>
      <w:rFonts w:ascii="Times New Roman" w:hAnsi="Times New Roman" w:eastAsia="Times New Roman" w:cs="Times New Roman"/>
      <w:szCs w:val="24"/>
    </w:rPr>
  </w:style>
  <w:style w:type="character" w:styleId="9">
    <w:name w:val="Strong"/>
    <w:basedOn w:val="2"/>
    <w:qFormat/>
    <w:uiPriority w:val="22"/>
    <w:rPr>
      <w:b/>
      <w:bCs/>
    </w:rPr>
  </w:style>
  <w:style w:type="table" w:styleId="10">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843</Words>
  <Characters>2817</Characters>
  <Lines>27</Lines>
  <Paragraphs>7</Paragraphs>
  <TotalTime>11</TotalTime>
  <ScaleCrop>false</ScaleCrop>
  <LinksUpToDate>false</LinksUpToDate>
  <CharactersWithSpaces>3594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2022-12-25T06:30:00Z</dcterms:created>
  <dc:creator>9Slide</dc:creator>
  <cp:lastModifiedBy>daota</cp:lastModifiedBy>
  <dcterms:modified xsi:type="dcterms:W3CDTF">2022-12-27T01:48:58Z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47E968CC86F842E7AC85D2ED6FC18A62</vt:lpwstr>
  </property>
</Properties>
</file>